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30"/>
          <w:szCs w:val="30"/>
          <w:b w:val="1"/>
          <w:bCs w:val="1"/>
        </w:rPr>
        <w:t xml:space="preserve">ЗАКЛЮЧЕНИЕ РЕИНЖИНИРИНГА</w:t>
      </w:r>
    </w:p>
    <w:p>
      <w:pPr>
        <w:spacing w:after="200"/>
      </w:pPr>
      <w:r>
        <w:rPr>
          <w:b w:val="1"/>
          <w:bCs w:val="1"/>
        </w:rPr>
        <w:t xml:space="preserve">Статус заключения: Согласовано</w:t>
      </w:r>
    </w:p>
    <w:tbl>
      <w:tblGrid>
        <w:gridCol w:w="3200" w:type="dxa"/>
        <w:gridCol w:w="6200" w:type="dxa"/>
      </w:tblGrid>
      <w:tblPr>
        <w:tblW w:w="5000" w:type="pct"/>
        <w:tblLayout w:type="autofit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CBD5E1"/>
          <w:left w:val="single" w:sz="6" w:color="CBD5E1"/>
          <w:right w:val="single" w:sz="6" w:color="CBD5E1"/>
          <w:bottom w:val="single" w:sz="6" w:color="CBD5E1"/>
          <w:insideH w:val="single" w:sz="6" w:color="CBD5E1"/>
          <w:insideV w:val="single" w:sz="6" w:color="CBD5E1"/>
        </w:tblBorders>
      </w:tblPr>
      <w:tr>
        <w:trPr/>
        <w:tc>
          <w:tcPr>
            <w:tcW w:w="3200" w:type="dxa"/>
            <w:shd w:val="clear" w:fill="F8FAFC"/>
            <w:noWrap/>
          </w:tcPr>
          <w:p>
            <w:pPr/>
            <w:r>
              <w:rPr>
                <w:b w:val="1"/>
                <w:bCs w:val="1"/>
              </w:rPr>
              <w:t xml:space="preserve">Кейс</w:t>
            </w:r>
          </w:p>
        </w:tc>
        <w:tc>
          <w:tcPr>
            <w:tcW w:w="6200" w:type="dxa"/>
            <w:noWrap/>
          </w:tcPr>
          <w:p>
            <w:pPr/>
            <w:r>
              <w:rPr/>
              <w:t xml:space="preserve">ТЕСТ · Лицензирование и разрешения</w:t>
            </w:r>
          </w:p>
        </w:tc>
      </w:tr>
      <w:tr>
        <w:trPr/>
        <w:tc>
          <w:tcPr>
            <w:tcW w:w="3200" w:type="dxa"/>
            <w:shd w:val="clear" w:fill="F8FAFC"/>
            <w:noWrap/>
          </w:tcPr>
          <w:p>
            <w:pPr/>
            <w:r>
              <w:rPr>
                <w:b w:val="1"/>
                <w:bCs w:val="1"/>
              </w:rPr>
              <w:t xml:space="preserve">Бизнес-процесс</w:t>
            </w:r>
          </w:p>
        </w:tc>
        <w:tc>
          <w:tcPr>
            <w:tcW w:w="6200" w:type="dxa"/>
            <w:noWrap/>
          </w:tcPr>
          <w:p>
            <w:pPr/>
            <w:r>
              <w:rPr/>
              <w:t xml:space="preserve">ТЕСТ · Выдача лицензии на осуществление деятельности</w:t>
            </w:r>
          </w:p>
        </w:tc>
      </w:tr>
      <w:tr>
        <w:trPr/>
        <w:tc>
          <w:tcPr>
            <w:tcW w:w="3200" w:type="dxa"/>
            <w:shd w:val="clear" w:fill="F8FAFC"/>
            <w:noWrap/>
          </w:tcPr>
          <w:p>
            <w:pPr/>
            <w:r>
              <w:rPr>
                <w:b w:val="1"/>
                <w:bCs w:val="1"/>
              </w:rPr>
              <w:t xml:space="preserve">Государственный орган</w:t>
            </w:r>
          </w:p>
        </w:tc>
        <w:tc>
          <w:tcPr>
            <w:tcW w:w="6200" w:type="dxa"/>
            <w:noWrap/>
          </w:tcPr>
          <w:p>
            <w:pPr/>
            <w:r>
              <w:rPr/>
              <w:t xml:space="preserve">Тестовый ГО</w:t>
            </w:r>
          </w:p>
        </w:tc>
      </w:tr>
      <w:tr>
        <w:trPr/>
        <w:tc>
          <w:tcPr>
            <w:tcW w:w="3200" w:type="dxa"/>
            <w:shd w:val="clear" w:fill="F8FAFC"/>
            <w:noWrap/>
          </w:tcPr>
          <w:p>
            <w:pPr/>
            <w:r>
              <w:rPr>
                <w:b w:val="1"/>
                <w:bCs w:val="1"/>
              </w:rPr>
              <w:t xml:space="preserve">Государственная функция</w:t>
            </w:r>
          </w:p>
        </w:tc>
        <w:tc>
          <w:tcPr>
            <w:tcW w:w="6200" w:type="dxa"/>
            <w:noWrap/>
          </w:tcPr>
          <w:p>
            <w:pPr/>
            <w:r>
              <w:rPr/>
              <w:t xml:space="preserve">—</w:t>
            </w:r>
          </w:p>
        </w:tc>
      </w:tr>
    </w:tbl>
    <w:p>
      <w:pPr>
        <w:spacing w:before="240" w:after="120"/>
      </w:pPr>
      <w:r>
        <w:rPr>
          <w:sz w:val="26"/>
          <w:szCs w:val="26"/>
          <w:b w:val="1"/>
          <w:bCs w:val="1"/>
        </w:rPr>
        <w:t xml:space="preserve">Выводы и рекомендации</w:t>
      </w:r>
    </w:p>
    <w:p>
      <w:pPr>
        <w:spacing w:after="80"/>
      </w:pPr>
      <w:r>
        <w:rPr>
          <w:b w:val="1"/>
          <w:bCs w:val="1"/>
        </w:rPr>
        <w:t xml:space="preserve">Заключение:</w:t>
      </w:r>
    </w:p>
    <w:p>
      <w:pPr/>
      <w:r>
        <w:rPr>
          <w:b w:val="1"/>
          <w:bCs w:val="1"/>
        </w:rPr>
        <w:t xml:space="preserve">Вывод ЦЦТ:</w:t>
      </w:r>
      <w:r>
        <w:rPr/>
        <w:t xml:space="preserve"> целевой процесс сокращает срок оказания услуги с 5 рабочих дней до 1 и исключает 2 из 4 ручных операций.</w:t>
      </w:r>
    </w:p>
    <w:p>
      <w:pPr>
        <w:numPr>
          <w:ilvl w:val="0"/>
          <w:numId w:val="1"/>
        </w:numPr>
      </w:pPr>
      <w:r>
        <w:rPr/>
        <w:t xml:space="preserve">Автопроверка по ИС госдоходов покрывает 92% обращений; остальные уходят в «Контроль исключений».</w:t>
      </w:r>
    </w:p>
    <w:p>
      <w:pPr>
        <w:numPr>
          <w:ilvl w:val="0"/>
          <w:numId w:val="1"/>
        </w:numPr>
      </w:pPr>
      <w:r>
        <w:rPr/>
        <w:t xml:space="preserve">Нагрузка на ШЭП — до 1 200 запросов в сутки, в пределах выделенной квоты.</w:t>
      </w:r>
    </w:p>
    <w:p>
      <w:pPr>
        <w:numPr>
          <w:ilvl w:val="0"/>
          <w:numId w:val="1"/>
        </w:numPr>
      </w:pPr>
      <w:r>
        <w:rPr/>
        <w:t xml:space="preserve">Рекомендуется пилот в двух регионах до тиражирования.</w:t>
      </w:r>
    </w:p>
    <w:p>
      <w:pPr/>
      <w:r>
        <w:rPr>
          <w:b w:val="1"/>
          <w:bCs w:val="1"/>
        </w:rPr>
        <w:t xml:space="preserve">Вывод Центра архитектуры:</w:t>
      </w:r>
      <w:r>
        <w:rPr/>
        <w:t xml:space="preserve"> целевой процесс соответствует архитектуре «электронного правительства».</w:t>
      </w:r>
    </w:p>
    <w:p>
      <w:pPr/>
      <w:r>
        <w:rPr/>
        <w:t xml:space="preserve">Интеграция с ИС госдоходов — через ШЭП по типовому сервису, новых точек интеграции не требуется. Модуль проверки размещается на ИКП.</w:t>
      </w:r>
    </w:p>
    <w:p>
      <w:pPr>
        <w:spacing w:before="360" w:after="80"/>
      </w:pPr>
      <w:r>
        <w:rPr>
          <w:color w:val="64748B"/>
          <w:sz w:val="20"/>
          <w:szCs w:val="20"/>
        </w:rPr>
        <w:t xml:space="preserve">Электронные цифровые подписи:</w:t>
      </w:r>
    </w:p>
    <w:tbl>
      <w:tblGrid>
        <w:gridCol w:w="3100" w:type="dxa"/>
        <w:gridCol w:w="3100" w:type="dxa"/>
        <w:gridCol w:w="3100" w:type="dxa"/>
      </w:tblGrid>
      <w:tblPr>
        <w:tblW w:w="5000" w:type="pct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100" w:type="dxa"/>
            <w:noWrap/>
          </w:tcPr>
          <w:p>
            <w:pPr>
              <w:jc w:val="center"/>
            </w:pPr>
            <w:r>
              <w:pict>
                <v:shape type="#_x0000_t75" stroked="f" style="width:110pt; height:11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</w:pPr>
            <w:r>
              <w:rPr>
                <w:sz w:val="18"/>
                <w:szCs w:val="18"/>
              </w:rPr>
              <w:t xml:space="preserve">ЦЦТ Исполнитель</w:t>
            </w:r>
          </w:p>
          <w:p>
            <w:pPr>
              <w:jc w:val="center"/>
            </w:pPr>
            <w:r>
              <w:rPr>
                <w:color w:val="64748B"/>
                <w:sz w:val="16"/>
                <w:szCs w:val="16"/>
              </w:rPr>
              <w:t xml:space="preserve">ЦЦТ · Исполнитель</w:t>
            </w:r>
          </w:p>
        </w:tc>
        <w:tc>
          <w:tcPr>
            <w:tcW w:w="3100" w:type="dxa"/>
            <w:noWrap/>
          </w:tcPr>
          <w:p>
            <w:pPr>
              <w:jc w:val="center"/>
            </w:pPr>
            <w:r>
              <w:pict>
                <v:shape type="#_x0000_t75" stroked="f" style="width:110pt; height:1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</w:pPr>
            <w:r>
              <w:rPr>
                <w:sz w:val="18"/>
                <w:szCs w:val="18"/>
              </w:rPr>
              <w:t xml:space="preserve">Архитектура Исполнитель</w:t>
            </w:r>
          </w:p>
          <w:p>
            <w:pPr>
              <w:jc w:val="center"/>
            </w:pPr>
            <w:r>
              <w:rPr>
                <w:color w:val="64748B"/>
                <w:sz w:val="16"/>
                <w:szCs w:val="16"/>
              </w:rPr>
              <w:t xml:space="preserve">Архитектура · Исполнитель</w:t>
            </w:r>
          </w:p>
        </w:tc>
        <w:tc>
          <w:tcPr>
            <w:tcW w:w="3100" w:type="dxa"/>
            <w:noWrap/>
          </w:tcPr>
          <w:p>
            <w:pPr>
              <w:jc w:val="center"/>
            </w:pPr>
            <w:r>
              <w:pict>
                <v:shape type="#_x0000_t75" stroked="f" style="width:110pt; height:1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  <w:p>
            <w:pPr>
              <w:jc w:val="center"/>
            </w:pPr>
            <w:r>
              <w:rPr>
                <w:sz w:val="18"/>
                <w:szCs w:val="18"/>
              </w:rPr>
              <w:t xml:space="preserve">АКЦ Подписывающий</w:t>
            </w:r>
          </w:p>
          <w:p>
            <w:pPr>
              <w:jc w:val="center"/>
            </w:pPr>
            <w:r>
              <w:rPr>
                <w:color w:val="64748B"/>
                <w:sz w:val="16"/>
                <w:szCs w:val="16"/>
              </w:rPr>
              <w:t xml:space="preserve">АКЦ · Подписывающий</w:t>
            </w:r>
          </w:p>
        </w:tc>
      </w:tr>
    </w:tbl>
    <w:sectPr>
      <w:pgSz w:orient="portrait" w:w="11905.511811023622" w:h="16837.79527559055"/>
      <w:pgMar w:top="1000" w:right="9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2C5E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2026-10-12T12:33:22+05:00</dcterms:created>
  <dcterms:modified xsi:type="dcterms:W3CDTF">2026-10-12T12:33:22+05:00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